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1EA36D" w14:textId="77777777" w:rsidR="00DD695A" w:rsidRDefault="00DD695A">
      <w:pPr>
        <w:rPr>
          <w:b/>
        </w:rPr>
      </w:pPr>
    </w:p>
    <w:p w14:paraId="6170902C" w14:textId="77777777" w:rsidR="00DD695A" w:rsidRDefault="00EE450E">
      <w:pPr>
        <w:rPr>
          <w:b/>
        </w:rPr>
      </w:pPr>
      <w:r>
        <w:rPr>
          <w:b/>
        </w:rPr>
        <w:t>Asset Performance 4.0 hybrid Conference &amp; Exhibition reveals full programme!</w:t>
      </w:r>
    </w:p>
    <w:p w14:paraId="3657C053" w14:textId="77777777" w:rsidR="00DD695A" w:rsidRDefault="00DD695A">
      <w:pPr>
        <w:rPr>
          <w:b/>
        </w:rPr>
      </w:pPr>
    </w:p>
    <w:p w14:paraId="5F7A0FE9" w14:textId="77777777" w:rsidR="00DD695A" w:rsidRDefault="00DD695A"/>
    <w:p w14:paraId="68C13CBA" w14:textId="77777777" w:rsidR="00DD695A" w:rsidRDefault="00EE450E">
      <w:r>
        <w:t xml:space="preserve">In only a few more weeks, the </w:t>
      </w:r>
      <w:r>
        <w:rPr>
          <w:b/>
        </w:rPr>
        <w:t>hybrid Asset Performance 4.0 Conference &amp; Exhibition</w:t>
      </w:r>
      <w:r>
        <w:t xml:space="preserve"> will be taking place! From </w:t>
      </w:r>
      <w:r>
        <w:rPr>
          <w:b/>
        </w:rPr>
        <w:t>26 to 28 October</w:t>
      </w:r>
      <w:r>
        <w:t xml:space="preserve">, you get to learn how to take your assets to the next level through interactive workshops and insightfull presentations, brought by asset management experts. </w:t>
      </w:r>
    </w:p>
    <w:p w14:paraId="584398AA" w14:textId="77777777" w:rsidR="00DD695A" w:rsidRDefault="00DD695A"/>
    <w:p w14:paraId="34449D95" w14:textId="77777777" w:rsidR="00DD695A" w:rsidRDefault="00EE450E">
      <w:pPr>
        <w:jc w:val="center"/>
        <w:rPr>
          <w:b/>
        </w:rPr>
      </w:pPr>
      <w:hyperlink r:id="rId6">
        <w:r>
          <w:rPr>
            <w:b/>
            <w:color w:val="1155CC"/>
            <w:u w:val="single"/>
          </w:rPr>
          <w:t>Discover the full programme</w:t>
        </w:r>
      </w:hyperlink>
    </w:p>
    <w:p w14:paraId="475E1F37" w14:textId="77777777" w:rsidR="00DD695A" w:rsidRDefault="00DD695A">
      <w:pPr>
        <w:jc w:val="center"/>
        <w:rPr>
          <w:b/>
        </w:rPr>
      </w:pPr>
    </w:p>
    <w:p w14:paraId="00E062C4" w14:textId="77777777" w:rsidR="00DD695A" w:rsidRDefault="00EE450E">
      <w:pPr>
        <w:shd w:val="clear" w:color="auto" w:fill="FFFFFF"/>
        <w:spacing w:before="200" w:after="200"/>
        <w:rPr>
          <w:color w:val="3F3F3F"/>
          <w:sz w:val="20"/>
          <w:szCs w:val="20"/>
          <w:highlight w:val="white"/>
        </w:rPr>
      </w:pPr>
      <w:r>
        <w:t xml:space="preserve">On the first conference day, you can participate in your personal selection of the 20 </w:t>
      </w:r>
      <w:r>
        <w:rPr>
          <w:b/>
        </w:rPr>
        <w:t>workshops</w:t>
      </w:r>
      <w:r>
        <w:t xml:space="preserve"> where you can get to work with innovative technologies and gain practical insights </w:t>
      </w:r>
      <w:r>
        <w:t>into asset performance</w:t>
      </w:r>
      <w:r>
        <w:rPr>
          <w:color w:val="3F3F3F"/>
          <w:sz w:val="20"/>
          <w:szCs w:val="20"/>
          <w:highlight w:val="white"/>
        </w:rPr>
        <w:t xml:space="preserve">. </w:t>
      </w:r>
    </w:p>
    <w:p w14:paraId="3B39AE41" w14:textId="77777777" w:rsidR="00DD695A" w:rsidRDefault="00EE450E">
      <w:pPr>
        <w:shd w:val="clear" w:color="auto" w:fill="FFFFFF"/>
        <w:spacing w:before="200" w:after="200"/>
      </w:pPr>
      <w:r>
        <w:t xml:space="preserve">This will be followed by 2 extensive days of </w:t>
      </w:r>
      <w:r>
        <w:rPr>
          <w:b/>
        </w:rPr>
        <w:t>presentations</w:t>
      </w:r>
      <w:r>
        <w:t xml:space="preserve">, kicked-off with </w:t>
      </w:r>
      <w:r>
        <w:rPr>
          <w:b/>
        </w:rPr>
        <w:t>keynote speeches</w:t>
      </w:r>
      <w:r>
        <w:t xml:space="preserve"> by notable representatives of prominent companies in the world of asset management, such as </w:t>
      </w:r>
      <w:hyperlink r:id="rId7">
        <w:r>
          <w:rPr>
            <w:i/>
            <w:color w:val="1155CC"/>
            <w:u w:val="single"/>
          </w:rPr>
          <w:t>Eriks</w:t>
        </w:r>
      </w:hyperlink>
      <w:r>
        <w:rPr>
          <w:i/>
        </w:rPr>
        <w:t xml:space="preserve">, GE Digital, </w:t>
      </w:r>
      <w:hyperlink r:id="rId8">
        <w:r>
          <w:rPr>
            <w:i/>
            <w:color w:val="1155CC"/>
            <w:u w:val="single"/>
          </w:rPr>
          <w:t>I-Care</w:t>
        </w:r>
      </w:hyperlink>
      <w:r>
        <w:t xml:space="preserve">, </w:t>
      </w:r>
      <w:r>
        <w:rPr>
          <w:i/>
        </w:rPr>
        <w:t xml:space="preserve">SKF,  </w:t>
      </w:r>
      <w:hyperlink r:id="rId9">
        <w:r>
          <w:rPr>
            <w:i/>
            <w:color w:val="1155CC"/>
            <w:u w:val="single"/>
          </w:rPr>
          <w:t>Mathias Kuom</w:t>
        </w:r>
      </w:hyperlink>
      <w:r>
        <w:rPr>
          <w:i/>
        </w:rPr>
        <w:t xml:space="preserve"> (DG Connect) </w:t>
      </w:r>
      <w:r>
        <w:t xml:space="preserve">and </w:t>
      </w:r>
      <w:hyperlink r:id="rId10">
        <w:r>
          <w:rPr>
            <w:i/>
            <w:color w:val="1155CC"/>
            <w:u w:val="single"/>
          </w:rPr>
          <w:t>Dr. Alexander Broos</w:t>
        </w:r>
      </w:hyperlink>
      <w:r>
        <w:rPr>
          <w:i/>
        </w:rPr>
        <w:t xml:space="preserve"> (VDW &amp; umati). </w:t>
      </w:r>
    </w:p>
    <w:p w14:paraId="2EDEBE2B" w14:textId="77777777" w:rsidR="00DD695A" w:rsidRDefault="00EE450E">
      <w:pPr>
        <w:shd w:val="clear" w:color="auto" w:fill="FFFFFF"/>
        <w:spacing w:before="200" w:after="200"/>
      </w:pPr>
      <w:r>
        <w:t xml:space="preserve">Of the more than 70 presentations that we carefully selected and organised in </w:t>
      </w:r>
      <w:hyperlink r:id="rId11">
        <w:r>
          <w:rPr>
            <w:color w:val="1155CC"/>
            <w:u w:val="single"/>
          </w:rPr>
          <w:t>6 tracks</w:t>
        </w:r>
      </w:hyperlink>
      <w:r>
        <w:t>, 25 are practical cases by industry experts:</w:t>
      </w:r>
    </w:p>
    <w:p w14:paraId="323252A9" w14:textId="77777777" w:rsidR="00DD695A" w:rsidRDefault="00EE450E">
      <w:pPr>
        <w:shd w:val="clear" w:color="auto" w:fill="FFFFFF"/>
        <w:spacing w:before="200" w:after="200"/>
      </w:pPr>
      <w:r>
        <w:rPr>
          <w:noProof/>
        </w:rPr>
        <w:drawing>
          <wp:inline distT="114300" distB="114300" distL="114300" distR="114300" wp14:anchorId="33D9D3A6" wp14:editId="4699536F">
            <wp:extent cx="5429250" cy="236220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29250" cy="2362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F99EB78" w14:textId="77777777" w:rsidR="00DD695A" w:rsidRDefault="00EE450E">
      <w:pPr>
        <w:widowControl w:val="0"/>
        <w:jc w:val="center"/>
      </w:pPr>
      <w:hyperlink r:id="rId13">
        <w:r>
          <w:rPr>
            <w:b/>
            <w:color w:val="1155CC"/>
            <w:u w:val="single"/>
          </w:rPr>
          <w:t>Register now!</w:t>
        </w:r>
      </w:hyperlink>
    </w:p>
    <w:tbl>
      <w:tblPr>
        <w:tblStyle w:val="a"/>
        <w:tblW w:w="888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880"/>
      </w:tblGrid>
      <w:tr w:rsidR="00DD695A" w14:paraId="0086F63F" w14:textId="77777777">
        <w:trPr>
          <w:trHeight w:val="3258"/>
        </w:trPr>
        <w:tc>
          <w:tcPr>
            <w:tcW w:w="888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EEB3EC5" w14:textId="77777777" w:rsidR="00DD695A" w:rsidRDefault="00DD69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595959"/>
                <w:sz w:val="20"/>
                <w:szCs w:val="20"/>
                <w:highlight w:val="white"/>
              </w:rPr>
            </w:pPr>
          </w:p>
          <w:tbl>
            <w:tblPr>
              <w:tblStyle w:val="a0"/>
              <w:tblW w:w="8210" w:type="dxa"/>
              <w:tblInd w:w="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8210"/>
            </w:tblGrid>
            <w:tr w:rsidR="00DD695A" w14:paraId="3DFCBFF0" w14:textId="77777777">
              <w:trPr>
                <w:trHeight w:val="2910"/>
              </w:trPr>
              <w:tc>
                <w:tcPr>
                  <w:tcW w:w="82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1D40627" w14:textId="77777777" w:rsidR="00DD695A" w:rsidRDefault="00DD695A">
                  <w:pPr>
                    <w:spacing w:before="200"/>
                    <w:rPr>
                      <w:color w:val="3F3F3F"/>
                      <w:sz w:val="20"/>
                      <w:szCs w:val="20"/>
                      <w:highlight w:val="white"/>
                    </w:rPr>
                  </w:pPr>
                </w:p>
              </w:tc>
            </w:tr>
          </w:tbl>
          <w:p w14:paraId="245C35C1" w14:textId="77777777" w:rsidR="00DD695A" w:rsidRDefault="00DD695A">
            <w:pPr>
              <w:rPr>
                <w:color w:val="595959"/>
                <w:sz w:val="20"/>
                <w:szCs w:val="20"/>
                <w:highlight w:val="white"/>
              </w:rPr>
            </w:pPr>
          </w:p>
        </w:tc>
      </w:tr>
    </w:tbl>
    <w:p w14:paraId="54A18D27" w14:textId="77777777" w:rsidR="00DD695A" w:rsidRDefault="00DD695A">
      <w:pPr>
        <w:rPr>
          <w:color w:val="3F3F3F"/>
          <w:sz w:val="20"/>
          <w:szCs w:val="20"/>
          <w:highlight w:val="white"/>
        </w:rPr>
      </w:pPr>
    </w:p>
    <w:tbl>
      <w:tblPr>
        <w:tblStyle w:val="a1"/>
        <w:tblW w:w="888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880"/>
      </w:tblGrid>
      <w:tr w:rsidR="00DD695A" w14:paraId="3CF582A7" w14:textId="77777777">
        <w:trPr>
          <w:trHeight w:val="200"/>
        </w:trPr>
        <w:tc>
          <w:tcPr>
            <w:tcW w:w="888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4B0E8D6" w14:textId="77777777" w:rsidR="00DD695A" w:rsidRDefault="00DD69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595959"/>
                <w:sz w:val="20"/>
                <w:szCs w:val="20"/>
                <w:highlight w:val="white"/>
              </w:rPr>
            </w:pPr>
          </w:p>
          <w:tbl>
            <w:tblPr>
              <w:tblStyle w:val="a2"/>
              <w:tblW w:w="8750" w:type="dxa"/>
              <w:tblInd w:w="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8750"/>
            </w:tblGrid>
            <w:tr w:rsidR="00DD695A" w14:paraId="567958D4" w14:textId="77777777">
              <w:trPr>
                <w:trHeight w:val="200"/>
              </w:trPr>
              <w:tc>
                <w:tcPr>
                  <w:tcW w:w="875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1E12C9D" w14:textId="77777777" w:rsidR="00DD695A" w:rsidRDefault="00DD695A">
                  <w:pPr>
                    <w:jc w:val="center"/>
                    <w:rPr>
                      <w:color w:val="595959"/>
                      <w:sz w:val="20"/>
                      <w:szCs w:val="20"/>
                      <w:highlight w:val="white"/>
                    </w:rPr>
                  </w:pPr>
                </w:p>
              </w:tc>
            </w:tr>
          </w:tbl>
          <w:p w14:paraId="08519609" w14:textId="77777777" w:rsidR="00DD695A" w:rsidRDefault="00DD695A">
            <w:pPr>
              <w:rPr>
                <w:color w:val="595959"/>
                <w:sz w:val="20"/>
                <w:szCs w:val="20"/>
                <w:highlight w:val="white"/>
              </w:rPr>
            </w:pPr>
          </w:p>
        </w:tc>
      </w:tr>
    </w:tbl>
    <w:p w14:paraId="31A22107" w14:textId="77777777" w:rsidR="00DD695A" w:rsidRDefault="00DD695A">
      <w:pPr>
        <w:rPr>
          <w:b/>
        </w:rPr>
      </w:pPr>
    </w:p>
    <w:sectPr w:rsidR="00DD695A">
      <w:headerReference w:type="default" r:id="rId14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BFFE44" w14:textId="77777777" w:rsidR="00EE450E" w:rsidRDefault="00EE450E">
      <w:pPr>
        <w:spacing w:line="240" w:lineRule="auto"/>
      </w:pPr>
      <w:r>
        <w:separator/>
      </w:r>
    </w:p>
  </w:endnote>
  <w:endnote w:type="continuationSeparator" w:id="0">
    <w:p w14:paraId="3E7E7B09" w14:textId="77777777" w:rsidR="00EE450E" w:rsidRDefault="00EE45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DC3483" w14:textId="77777777" w:rsidR="00EE450E" w:rsidRDefault="00EE450E">
      <w:pPr>
        <w:spacing w:line="240" w:lineRule="auto"/>
      </w:pPr>
      <w:r>
        <w:separator/>
      </w:r>
    </w:p>
  </w:footnote>
  <w:footnote w:type="continuationSeparator" w:id="0">
    <w:p w14:paraId="468898B5" w14:textId="77777777" w:rsidR="00EE450E" w:rsidRDefault="00EE450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7F498" w14:textId="77777777" w:rsidR="00DD695A" w:rsidRDefault="00EE450E">
    <w:r>
      <w:rPr>
        <w:noProof/>
      </w:rPr>
      <w:drawing>
        <wp:inline distT="114300" distB="114300" distL="114300" distR="114300" wp14:anchorId="5F5A35F9" wp14:editId="22D587B2">
          <wp:extent cx="2319338" cy="662668"/>
          <wp:effectExtent l="0" t="0" r="0" b="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19338" cy="66266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95A"/>
    <w:rsid w:val="002722D8"/>
    <w:rsid w:val="00DD695A"/>
    <w:rsid w:val="00EE4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FAC1C"/>
  <w15:docId w15:val="{643E2B87-77FE-4782-A2AC-31912F613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nl" w:eastAsia="de-DE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berschrift2">
    <w:name w:val="heading 2"/>
    <w:basedOn w:val="Standard"/>
    <w:next w:val="Standard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Untertitel">
    <w:name w:val="Subtitle"/>
    <w:basedOn w:val="Standard"/>
    <w:next w:val="Standard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ssetperformance.eu/event/239e7c0a-d087-4179-9ba1-6adbd33fe5b1/websitePage:9b8a0a8c-2c11-4534-9e2e-8fa4698d2158?utm_source=maintworld&amp;utm_medium=referral&amp;utm_campaign=action" TargetMode="External"/><Relationship Id="rId13" Type="http://schemas.openxmlformats.org/officeDocument/2006/relationships/hyperlink" Target="https://www.assetperformance.eu/event/239e7c0a-d087-4179-9ba1-6adbd33fe5b1/regProcessStep1:58e3ab85-ad58-436e-968b-b70ce9400f1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assetperformance.eu/event/239e7c0a-d087-4179-9ba1-6adbd33fe5b1/websitePage:a6699b38-9d16-44a0-a341-491039c8330c?utm_source=maintworld&amp;utm_medium=referral&amp;utm_campaign=action" TargetMode="External"/><Relationship Id="rId12" Type="http://schemas.openxmlformats.org/officeDocument/2006/relationships/image" Target="media/image1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assetperformance.eu/event/239e7c0a-d087-4179-9ba1-6adbd33fe5b1/websitePage:419be8ae-ad79-4779-a9c8-58891200beee" TargetMode="External"/><Relationship Id="rId11" Type="http://schemas.openxmlformats.org/officeDocument/2006/relationships/hyperlink" Target="https://www.assetperformance.eu/event/239e7c0a-d087-4179-9ba1-6adbd33fe5b1/websitePage:68f47c51-7b17-49b5-a0aa-18151ab41e74?utm_source=bemasserv&amp;utm_medium=mail&amp;utm_campaign=3119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s://www.assetperformance.eu/event/239e7c0a-d087-4179-9ba1-6adbd33fe5b1/websitePage:f510e56b-b877-44f7-85c6-1d95f156a8ee?utm_source=maintworld&amp;utm_medium=referral&amp;utm_campaign=action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assetperformance.eu/event/239e7c0a-d087-4179-9ba1-6adbd33fe5b1/websitePage:e4a5fbe5-95a2-4a77-8598-2fe4309653ce?utm_source=maintworld&amp;utm_medium=referral&amp;utm_campaign=action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322</Words>
  <Characters>2030</Characters>
  <Application>Microsoft Office Word</Application>
  <DocSecurity>0</DocSecurity>
  <Lines>16</Lines>
  <Paragraphs>4</Paragraphs>
  <ScaleCrop>false</ScaleCrop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Rainer Brenk</dc:creator>
  <cp:lastModifiedBy>Rainer Brenk</cp:lastModifiedBy>
  <cp:revision>2</cp:revision>
  <dcterms:created xsi:type="dcterms:W3CDTF">2021-09-28T18:18:00Z</dcterms:created>
  <dcterms:modified xsi:type="dcterms:W3CDTF">2021-09-28T18:18:00Z</dcterms:modified>
</cp:coreProperties>
</file>